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40"/>
          <w:szCs w:val="40"/>
        </w:rPr>
      </w:pPr>
      <w:bookmarkStart w:id="0" w:name="_GoBack"/>
      <w:bookmarkEnd w:id="0"/>
      <w:r>
        <w:rPr>
          <w:rFonts w:ascii="宋体" w:hAnsi="宋体" w:eastAsia="宋体"/>
          <w:b/>
          <w:bCs/>
          <w:sz w:val="40"/>
          <w:szCs w:val="40"/>
        </w:rPr>
        <w:t>九江中澳钽铌有限公司</w:t>
      </w:r>
    </w:p>
    <w:p>
      <w:pPr>
        <w:jc w:val="center"/>
        <w:rPr>
          <w:rFonts w:ascii="宋体" w:hAnsi="宋体" w:eastAsia="宋体"/>
          <w:b/>
          <w:bCs/>
          <w:sz w:val="40"/>
          <w:szCs w:val="40"/>
        </w:rPr>
      </w:pPr>
      <w:r>
        <w:rPr>
          <w:rFonts w:hint="eastAsia" w:ascii="宋体" w:hAnsi="宋体" w:eastAsia="宋体"/>
          <w:b/>
          <w:bCs/>
          <w:sz w:val="40"/>
          <w:szCs w:val="40"/>
        </w:rPr>
        <w:t>遵守</w:t>
      </w:r>
      <w:r>
        <w:rPr>
          <w:rFonts w:ascii="宋体" w:hAnsi="宋体" w:eastAsia="宋体"/>
          <w:b/>
          <w:bCs/>
          <w:sz w:val="40"/>
          <w:szCs w:val="40"/>
        </w:rPr>
        <w:t>EITI</w:t>
      </w:r>
      <w:r>
        <w:rPr>
          <w:rFonts w:hint="eastAsia" w:ascii="宋体" w:hAnsi="宋体" w:eastAsia="宋体"/>
          <w:b/>
          <w:bCs/>
          <w:sz w:val="40"/>
          <w:szCs w:val="40"/>
        </w:rPr>
        <w:t>原则的申明</w:t>
      </w:r>
    </w:p>
    <w:p>
      <w:pPr>
        <w:jc w:val="center"/>
        <w:rPr>
          <w:rFonts w:ascii="宋体" w:hAnsi="宋体" w:eastAsia="宋体"/>
          <w:b/>
          <w:bCs/>
          <w:sz w:val="40"/>
          <w:szCs w:val="40"/>
        </w:rPr>
      </w:pPr>
    </w:p>
    <w:p>
      <w:pPr>
        <w:ind w:left="315" w:leftChars="150"/>
        <w:jc w:val="left"/>
        <w:rPr>
          <w:rFonts w:ascii="宋体" w:hAnsi="宋体" w:eastAsia="宋体"/>
          <w:sz w:val="24"/>
        </w:rPr>
      </w:pPr>
      <w:r>
        <w:rPr>
          <w:rFonts w:hint="eastAsia" w:ascii="宋体" w:hAnsi="宋体" w:eastAsia="宋体"/>
          <w:sz w:val="24"/>
        </w:rPr>
        <w:t>为</w:t>
      </w:r>
      <w:r>
        <w:rPr>
          <w:rFonts w:ascii="宋体" w:hAnsi="宋体" w:eastAsia="宋体"/>
          <w:sz w:val="24"/>
        </w:rPr>
        <w:t>加强其采掘业管理的透明度和问责制</w:t>
      </w:r>
      <w:r>
        <w:rPr>
          <w:rFonts w:hint="eastAsia" w:ascii="宋体" w:hAnsi="宋体" w:eastAsia="宋体"/>
          <w:sz w:val="24"/>
        </w:rPr>
        <w:t>，</w:t>
      </w:r>
      <w:r>
        <w:rPr>
          <w:rFonts w:ascii="宋体" w:hAnsi="宋体" w:eastAsia="宋体"/>
          <w:sz w:val="24"/>
        </w:rPr>
        <w:t>九江中澳钽铌有限公司</w:t>
      </w:r>
      <w:r>
        <w:rPr>
          <w:rFonts w:hint="eastAsia" w:ascii="宋体" w:hAnsi="宋体" w:eastAsia="宋体"/>
          <w:sz w:val="24"/>
        </w:rPr>
        <w:t>承诺遵守</w:t>
      </w:r>
      <w:r>
        <w:rPr>
          <w:rFonts w:ascii="宋体" w:hAnsi="宋体" w:eastAsia="宋体"/>
          <w:sz w:val="24"/>
        </w:rPr>
        <w:t>采掘业透明度行动计划</w:t>
      </w:r>
      <w:r>
        <w:rPr>
          <w:rFonts w:hint="eastAsia" w:ascii="宋体" w:hAnsi="宋体" w:eastAsia="宋体"/>
          <w:sz w:val="24"/>
        </w:rPr>
        <w:t>（简称E</w:t>
      </w:r>
      <w:r>
        <w:rPr>
          <w:rFonts w:ascii="宋体" w:hAnsi="宋体" w:eastAsia="宋体"/>
          <w:sz w:val="24"/>
        </w:rPr>
        <w:t>ITI）</w:t>
      </w:r>
      <w:r>
        <w:rPr>
          <w:rFonts w:hint="eastAsia" w:ascii="宋体" w:hAnsi="宋体" w:eastAsia="宋体"/>
          <w:sz w:val="24"/>
        </w:rPr>
        <w:t>以下原则：</w:t>
      </w:r>
    </w:p>
    <w:p>
      <w:pPr>
        <w:ind w:firstLine="360" w:firstLineChars="150"/>
        <w:jc w:val="left"/>
        <w:rPr>
          <w:rFonts w:hint="eastAsia" w:ascii="宋体" w:hAnsi="宋体" w:eastAsia="宋体"/>
          <w:sz w:val="24"/>
        </w:rPr>
      </w:pP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我们都相信，谨慎地利用自然资源财富是经济持续增长的重要动力，从而带动可持续发展和减少贫困，反之，如果管理不善，可造成负面的经济和社会影响。</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我们确信，管理自然资源财富、造福于国民是主权政府为国家发展利益应行使的职责。</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我们承认，资源采掘的收益流需经过多年方能收效，并非常受价格影响。</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我们承认，公众对政府收入和支出的长期了解有助于公众思考和选择适当并现实的持续发展道路。</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我们强调政府和采掘业公司保持透明度的重要性，以及加强公有财富管理和问责制的必要性。</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我们承认，实现更大程度的透明度必须严格遵守合同和法律的规定。</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我们承认，财政透明度将改善国内和国外直接投资环境。</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我们信任政府在管理收益流和公众支出方面对其全体公民表现出的问责原则与实践。</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我们鼓励在公众生活、政府运作和商业交往中保持高度透明和问责制。</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我们认为，需要建立一个简单易行、广泛一致并且可运作的披露收支的途径。</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我们认为，某一国的付款披露应包括所有在该国运营的采掘业公司。</w:t>
      </w:r>
    </w:p>
    <w:p>
      <w:pPr>
        <w:pStyle w:val="5"/>
        <w:widowControl/>
        <w:numPr>
          <w:ilvl w:val="0"/>
          <w:numId w:val="1"/>
        </w:numPr>
        <w:ind w:firstLineChars="0"/>
        <w:jc w:val="left"/>
        <w:rPr>
          <w:rFonts w:ascii="宋体" w:hAnsi="宋体" w:eastAsia="宋体" w:cs="宋体"/>
          <w:color w:val="333333"/>
          <w:kern w:val="0"/>
          <w:sz w:val="24"/>
          <w:shd w:val="clear" w:color="auto" w:fill="FFFFFF"/>
        </w:rPr>
      </w:pPr>
      <w:r>
        <w:rPr>
          <w:rFonts w:ascii="宋体" w:hAnsi="宋体" w:eastAsia="宋体" w:cs="宋体"/>
          <w:color w:val="333333"/>
          <w:kern w:val="0"/>
          <w:sz w:val="24"/>
          <w:shd w:val="clear" w:color="auto" w:fill="FFFFFF"/>
        </w:rPr>
        <w:t>我们认为，在寻求解决方案时，所有利益相关者均应作出重要和相关贡献，包括政府以及机构、采掘业公司、服务公司、多边组织、金融机构、投资商和</w:t>
      </w:r>
      <w:r>
        <w:fldChar w:fldCharType="begin"/>
      </w:r>
      <w:r>
        <w:instrText xml:space="preserve"> HYPERLINK "https://baike.baidu.com/item/%E9%9D%9E%E6%94%BF%E5%BA%9C%E7%BB%84%E7%BB%87/1416088" \t "_blank" </w:instrText>
      </w:r>
      <w:r>
        <w:fldChar w:fldCharType="separate"/>
      </w:r>
      <w:r>
        <w:rPr>
          <w:rFonts w:ascii="宋体" w:hAnsi="宋体" w:eastAsia="宋体" w:cs="宋体"/>
          <w:color w:val="333333"/>
          <w:kern w:val="0"/>
          <w:sz w:val="24"/>
          <w:shd w:val="clear" w:color="auto" w:fill="FFFFFF"/>
        </w:rPr>
        <w:t>非政府组织</w:t>
      </w:r>
      <w:r>
        <w:rPr>
          <w:rFonts w:ascii="宋体" w:hAnsi="宋体" w:eastAsia="宋体" w:cs="宋体"/>
          <w:color w:val="333333"/>
          <w:kern w:val="0"/>
          <w:sz w:val="24"/>
          <w:shd w:val="clear" w:color="auto" w:fill="FFFFFF"/>
        </w:rPr>
        <w:fldChar w:fldCharType="end"/>
      </w:r>
      <w:r>
        <w:rPr>
          <w:rFonts w:ascii="宋体" w:hAnsi="宋体" w:eastAsia="宋体" w:cs="宋体"/>
          <w:color w:val="333333"/>
          <w:kern w:val="0"/>
          <w:sz w:val="24"/>
          <w:shd w:val="clear" w:color="auto" w:fill="FFFFFF"/>
        </w:rPr>
        <w:t>。</w:t>
      </w:r>
    </w:p>
    <w:p>
      <w:pPr>
        <w:widowControl/>
        <w:jc w:val="left"/>
        <w:rPr>
          <w:rFonts w:ascii="宋体" w:hAnsi="宋体" w:eastAsia="宋体" w:cs="宋体"/>
          <w:color w:val="333333"/>
          <w:kern w:val="0"/>
          <w:sz w:val="24"/>
          <w:shd w:val="clear" w:color="auto" w:fill="FFFFFF"/>
        </w:rPr>
      </w:pPr>
    </w:p>
    <w:p>
      <w:pPr>
        <w:ind w:left="315" w:leftChars="150"/>
        <w:jc w:val="left"/>
        <w:rPr>
          <w:rFonts w:ascii="宋体" w:hAnsi="宋体" w:eastAsia="宋体"/>
          <w:sz w:val="24"/>
        </w:rPr>
      </w:pPr>
      <w:r>
        <w:rPr>
          <w:rFonts w:hint="eastAsia" w:ascii="宋体" w:hAnsi="宋体" w:eastAsia="宋体"/>
          <w:sz w:val="24"/>
        </w:rPr>
        <w:t>我们鼓励供应链中供应商同样遵守该原则，在</w:t>
      </w:r>
      <w:r>
        <w:rPr>
          <w:rFonts w:ascii="宋体" w:hAnsi="宋体" w:eastAsia="宋体"/>
          <w:sz w:val="24"/>
        </w:rPr>
        <w:t>EITI</w:t>
      </w:r>
      <w:r>
        <w:rPr>
          <w:rFonts w:hint="eastAsia" w:ascii="宋体" w:hAnsi="宋体" w:eastAsia="宋体"/>
          <w:sz w:val="24"/>
        </w:rPr>
        <w:t>实施国家运营的采掘业公司应按照当地法律法规要求主动向政府披露付款</w:t>
      </w:r>
      <w:r>
        <w:rPr>
          <w:rFonts w:hint="eastAsia" w:ascii="宋体" w:hAnsi="宋体" w:eastAsia="宋体" w:cs="宋体"/>
          <w:color w:val="333333"/>
          <w:kern w:val="0"/>
          <w:sz w:val="24"/>
          <w:shd w:val="clear" w:color="auto" w:fill="FFFFFF"/>
        </w:rPr>
        <w:t>。</w:t>
      </w:r>
    </w:p>
    <w:p>
      <w:pPr>
        <w:widowControl/>
        <w:jc w:val="left"/>
        <w:rPr>
          <w:rFonts w:ascii="宋体" w:hAnsi="宋体" w:eastAsia="宋体" w:cs="宋体"/>
          <w:color w:val="333333"/>
          <w:kern w:val="0"/>
          <w:sz w:val="24"/>
          <w:shd w:val="clear" w:color="auto" w:fill="FFFFFF"/>
        </w:rPr>
      </w:pPr>
    </w:p>
    <w:p>
      <w:pPr>
        <w:widowControl/>
        <w:jc w:val="left"/>
        <w:rPr>
          <w:rFonts w:hint="eastAsia" w:ascii="宋体" w:hAnsi="宋体" w:eastAsia="宋体" w:cs="宋体"/>
          <w:color w:val="333333"/>
          <w:kern w:val="0"/>
          <w:sz w:val="24"/>
          <w:shd w:val="clear" w:color="auto" w:fill="FFFFFF"/>
          <w:lang w:eastAsia="zh-CN"/>
        </w:rPr>
      </w:pPr>
      <w:r>
        <w:rPr>
          <w:rFonts w:hint="eastAsia" w:ascii="宋体" w:hAnsi="宋体" w:eastAsia="宋体" w:cs="宋体"/>
          <w:color w:val="333333"/>
          <w:kern w:val="0"/>
          <w:sz w:val="24"/>
          <w:shd w:val="clear" w:color="auto" w:fill="FFFFFF"/>
          <w:lang w:val="en-US" w:eastAsia="zh-CN"/>
        </w:rPr>
        <w:t xml:space="preserve">                                          </w:t>
      </w:r>
      <w:r>
        <w:rPr>
          <w:rFonts w:hint="eastAsia" w:ascii="宋体" w:hAnsi="宋体" w:eastAsia="宋体" w:cs="宋体"/>
          <w:color w:val="333333"/>
          <w:kern w:val="0"/>
          <w:sz w:val="24"/>
          <w:shd w:val="clear" w:color="auto" w:fill="FFFFFF"/>
          <w:lang w:eastAsia="zh-CN"/>
        </w:rPr>
        <w:drawing>
          <wp:inline distT="0" distB="0" distL="114300" distR="114300">
            <wp:extent cx="1940560" cy="1616075"/>
            <wp:effectExtent l="0" t="0" r="2540" b="9525"/>
            <wp:docPr id="1" name="图片 1" descr="{cc14c87f-1706-4f43-80e4-52298b1aab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c14c87f-1706-4f43-80e4-52298b1aab4c}(1)"/>
                    <pic:cNvPicPr>
                      <a:picLocks noChangeAspect="1"/>
                    </pic:cNvPicPr>
                  </pic:nvPicPr>
                  <pic:blipFill>
                    <a:blip r:embed="rId4"/>
                    <a:stretch>
                      <a:fillRect/>
                    </a:stretch>
                  </pic:blipFill>
                  <pic:spPr>
                    <a:xfrm>
                      <a:off x="0" y="0"/>
                      <a:ext cx="1940560" cy="1616075"/>
                    </a:xfrm>
                    <a:prstGeom prst="rect">
                      <a:avLst/>
                    </a:prstGeom>
                  </pic:spPr>
                </pic:pic>
              </a:graphicData>
            </a:graphic>
          </wp:inline>
        </w:drawing>
      </w:r>
    </w:p>
    <w:p>
      <w:pPr>
        <w:widowControl/>
        <w:ind w:firstLine="6000" w:firstLineChars="2500"/>
        <w:jc w:val="left"/>
        <w:rPr>
          <w:rFonts w:hint="default" w:ascii="宋体" w:hAnsi="宋体" w:eastAsia="宋体" w:cs="宋体"/>
          <w:color w:val="333333"/>
          <w:kern w:val="0"/>
          <w:sz w:val="24"/>
          <w:shd w:val="clear" w:color="auto" w:fill="FFFFFF"/>
          <w:lang w:val="en-US" w:eastAsia="zh-CN"/>
        </w:rPr>
      </w:pPr>
      <w:r>
        <w:rPr>
          <w:rFonts w:hint="eastAsia" w:ascii="宋体" w:hAnsi="宋体" w:eastAsia="宋体" w:cs="宋体"/>
          <w:color w:val="333333"/>
          <w:kern w:val="0"/>
          <w:sz w:val="24"/>
          <w:shd w:val="clear" w:color="auto" w:fill="FFFFFF"/>
          <w:lang w:val="en-US" w:eastAsia="zh-CN"/>
        </w:rPr>
        <w:t>2021年1月1日</w:t>
      </w:r>
    </w:p>
    <w:p>
      <w:pPr>
        <w:widowControl/>
        <w:jc w:val="left"/>
        <w:rPr>
          <w:rFonts w:hint="eastAsia" w:ascii="宋体" w:hAnsi="宋体" w:eastAsia="宋体" w:cs="宋体"/>
          <w:color w:val="333333"/>
          <w:kern w:val="0"/>
          <w:sz w:val="24"/>
          <w:shd w:val="clear" w:color="auto" w:fill="FFFFFF"/>
        </w:rPr>
      </w:pPr>
    </w:p>
    <w:p>
      <w:pPr>
        <w:widowControl/>
        <w:jc w:val="left"/>
        <w:rPr>
          <w:rFonts w:ascii="宋体" w:hAnsi="宋体" w:eastAsia="宋体" w:cs="宋体"/>
          <w:color w:val="333333"/>
          <w:kern w:val="0"/>
          <w:sz w:val="24"/>
          <w:shd w:val="clear" w:color="auto" w:fill="FFFFFF"/>
        </w:rPr>
      </w:pPr>
    </w:p>
    <w:p>
      <w:pPr>
        <w:widowControl/>
        <w:jc w:val="left"/>
        <w:rPr>
          <w:rFonts w:ascii="宋体" w:hAnsi="宋体" w:eastAsia="宋体" w:cs="宋体"/>
          <w:color w:val="333333"/>
          <w:kern w:val="0"/>
          <w:sz w:val="24"/>
          <w:shd w:val="clear" w:color="auto" w:fill="FFFFFF"/>
        </w:rPr>
      </w:pPr>
      <w:r>
        <w:rPr>
          <w:rFonts w:hint="eastAsia" w:ascii="宋体" w:hAnsi="宋体" w:eastAsia="宋体" w:cs="宋体"/>
          <w:color w:val="333333"/>
          <w:kern w:val="0"/>
          <w:sz w:val="24"/>
          <w:shd w:val="clear" w:color="auto" w:fill="FFFFFF"/>
        </w:rPr>
        <w:t xml:space="preserve"> </w:t>
      </w:r>
      <w:r>
        <w:rPr>
          <w:rFonts w:ascii="宋体" w:hAnsi="宋体" w:eastAsia="宋体" w:cs="宋体"/>
          <w:color w:val="333333"/>
          <w:kern w:val="0"/>
          <w:sz w:val="24"/>
          <w:shd w:val="clear" w:color="auto" w:fill="FFFFFF"/>
        </w:rPr>
        <w:t xml:space="preserve">                                            </w:t>
      </w:r>
    </w:p>
    <w:p>
      <w:pPr>
        <w:widowControl/>
        <w:jc w:val="left"/>
        <w:rPr>
          <w:rFonts w:ascii="宋体" w:hAnsi="宋体" w:eastAsia="宋体" w:cs="宋体"/>
          <w:color w:val="333333"/>
          <w:kern w:val="0"/>
          <w:sz w:val="24"/>
          <w:shd w:val="clear" w:color="auto" w:fill="FFFFFF"/>
        </w:rPr>
      </w:pPr>
    </w:p>
    <w:p>
      <w:pPr>
        <w:rPr>
          <w:rFonts w:ascii="宋体" w:hAnsi="宋体"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040040"/>
    <w:multiLevelType w:val="multilevel"/>
    <w:tmpl w:val="69040040"/>
    <w:lvl w:ilvl="0" w:tentative="0">
      <w:start w:val="1"/>
      <w:numFmt w:val="decimal"/>
      <w:lvlText w:val="%1."/>
      <w:lvlJc w:val="left"/>
      <w:pPr>
        <w:ind w:left="780" w:hanging="4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0ZjZhODk0N2ZhZTc4Yjg3MTc2NjA5ZjQ4NjhmNjMifQ=="/>
  </w:docVars>
  <w:rsids>
    <w:rsidRoot w:val="00DD1C05"/>
    <w:rsid w:val="00020207"/>
    <w:rsid w:val="00043E77"/>
    <w:rsid w:val="00572DF2"/>
    <w:rsid w:val="007045EB"/>
    <w:rsid w:val="00764D47"/>
    <w:rsid w:val="00936A2A"/>
    <w:rsid w:val="00AE448D"/>
    <w:rsid w:val="00AF4546"/>
    <w:rsid w:val="00B53F03"/>
    <w:rsid w:val="00BB044F"/>
    <w:rsid w:val="00C07DDB"/>
    <w:rsid w:val="00DA422C"/>
    <w:rsid w:val="00DD1C05"/>
    <w:rsid w:val="00DE4473"/>
    <w:rsid w:val="57C96658"/>
    <w:rsid w:val="66CA7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613</Words>
  <Characters>625</Characters>
  <Lines>6</Lines>
  <Paragraphs>1</Paragraphs>
  <TotalTime>64</TotalTime>
  <ScaleCrop>false</ScaleCrop>
  <LinksUpToDate>false</LinksUpToDate>
  <CharactersWithSpaces>712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2022-05-30T07:49:00Z</dcterms:created>
  <dc:creator>Mona Xie</dc:creator>
  <cp:lastModifiedBy>徘徊空谷</cp:lastModifiedBy>
  <dcterms:modified xsi:type="dcterms:W3CDTF">2024-06-24T03:43:40Z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52D3D08171F948018BAF2458D9A3C19B_13</vt:lpwstr>
  </property>
</Properties>
</file>